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Покур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Нижневартовского муниципального района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Ханты – Мансийского автономного округа – Югры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ПОСТАНОВЛЕНИЕ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480B58" w:rsidRDefault="00480B58">
      <w:pPr>
        <w:pStyle w:val="23"/>
        <w:keepNext/>
        <w:keepLines/>
        <w:shd w:val="clear" w:color="auto" w:fill="auto"/>
        <w:spacing w:before="0" w:after="0" w:line="254" w:lineRule="exact"/>
        <w:rPr>
          <w:rFonts w:eastAsia="Microsoft Sans Serif"/>
          <w:b w:val="0"/>
          <w:bCs w:val="0"/>
          <w:sz w:val="28"/>
          <w:szCs w:val="28"/>
        </w:rPr>
      </w:pPr>
    </w:p>
    <w:p w:rsidR="00480B58" w:rsidRDefault="009670B3">
      <w:pPr>
        <w:pStyle w:val="23"/>
        <w:keepNext/>
        <w:keepLines/>
        <w:shd w:val="clear" w:color="auto" w:fill="auto"/>
        <w:spacing w:before="0" w:after="0" w:line="254" w:lineRule="exact"/>
        <w:rPr>
          <w:b w:val="0"/>
          <w:sz w:val="28"/>
          <w:szCs w:val="28"/>
          <w:u w:val="single"/>
        </w:rPr>
      </w:pPr>
      <w:r w:rsidRPr="00D800FE">
        <w:rPr>
          <w:b w:val="0"/>
          <w:sz w:val="28"/>
          <w:szCs w:val="28"/>
        </w:rPr>
        <w:t xml:space="preserve">от </w:t>
      </w:r>
      <w:r w:rsidR="009C7B75">
        <w:rPr>
          <w:b w:val="0"/>
          <w:sz w:val="28"/>
          <w:szCs w:val="28"/>
        </w:rPr>
        <w:t>15.12.2023 г.</w:t>
      </w:r>
      <w:r w:rsidRPr="00D800FE">
        <w:rPr>
          <w:b w:val="0"/>
          <w:sz w:val="28"/>
          <w:szCs w:val="28"/>
        </w:rPr>
        <w:t xml:space="preserve">                                                                             </w:t>
      </w:r>
      <w:r w:rsidR="00D800FE">
        <w:rPr>
          <w:b w:val="0"/>
          <w:sz w:val="28"/>
          <w:szCs w:val="28"/>
        </w:rPr>
        <w:t xml:space="preserve">      </w:t>
      </w:r>
      <w:r w:rsidR="009C7B75">
        <w:rPr>
          <w:b w:val="0"/>
          <w:sz w:val="28"/>
          <w:szCs w:val="28"/>
        </w:rPr>
        <w:t xml:space="preserve">  </w:t>
      </w:r>
      <w:r w:rsidR="00D800FE">
        <w:rPr>
          <w:b w:val="0"/>
          <w:sz w:val="28"/>
          <w:szCs w:val="28"/>
        </w:rPr>
        <w:t xml:space="preserve">  </w:t>
      </w:r>
      <w:r w:rsidRPr="00D800FE">
        <w:rPr>
          <w:b w:val="0"/>
          <w:sz w:val="28"/>
          <w:szCs w:val="28"/>
        </w:rPr>
        <w:t xml:space="preserve">       № </w:t>
      </w:r>
      <w:r w:rsidR="009C7B75">
        <w:rPr>
          <w:b w:val="0"/>
          <w:sz w:val="28"/>
          <w:szCs w:val="28"/>
        </w:rPr>
        <w:t>100</w:t>
      </w:r>
    </w:p>
    <w:p w:rsidR="00480B58" w:rsidRDefault="009670B3">
      <w:pPr>
        <w:pStyle w:val="30"/>
        <w:shd w:val="clear" w:color="auto" w:fill="auto"/>
        <w:tabs>
          <w:tab w:val="right" w:pos="4518"/>
        </w:tabs>
        <w:spacing w:before="0" w:after="0" w:line="274" w:lineRule="exact"/>
      </w:pPr>
      <w:r>
        <w:t xml:space="preserve"> </w:t>
      </w:r>
    </w:p>
    <w:p w:rsidR="00480B58" w:rsidRDefault="00A93AB0" w:rsidP="00A93AB0">
      <w:pPr>
        <w:pStyle w:val="30"/>
        <w:shd w:val="clear" w:color="auto" w:fill="auto"/>
        <w:tabs>
          <w:tab w:val="right" w:pos="4518"/>
        </w:tabs>
        <w:spacing w:before="0" w:after="0" w:line="240" w:lineRule="auto"/>
        <w:ind w:right="47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9670B3">
        <w:rPr>
          <w:b w:val="0"/>
          <w:sz w:val="28"/>
          <w:szCs w:val="28"/>
        </w:rPr>
        <w:t>Программы</w:t>
      </w:r>
      <w:r>
        <w:rPr>
          <w:b w:val="0"/>
          <w:sz w:val="28"/>
          <w:szCs w:val="28"/>
        </w:rPr>
        <w:t xml:space="preserve"> </w:t>
      </w:r>
      <w:r w:rsidR="009670B3">
        <w:rPr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</w:t>
      </w:r>
      <w:r>
        <w:rPr>
          <w:b w:val="0"/>
          <w:sz w:val="28"/>
          <w:szCs w:val="28"/>
        </w:rPr>
        <w:t xml:space="preserve">троля в сфере благоустройства в </w:t>
      </w:r>
      <w:r w:rsidR="009670B3">
        <w:rPr>
          <w:b w:val="0"/>
          <w:sz w:val="28"/>
          <w:szCs w:val="28"/>
        </w:rPr>
        <w:t xml:space="preserve">сельском поселении </w:t>
      </w:r>
      <w:r w:rsidR="00D800FE">
        <w:rPr>
          <w:b w:val="0"/>
          <w:sz w:val="28"/>
          <w:szCs w:val="28"/>
        </w:rPr>
        <w:t>Покур</w:t>
      </w:r>
      <w:r w:rsidR="00EC5AEB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="00EC5AEB">
        <w:rPr>
          <w:b w:val="0"/>
          <w:sz w:val="28"/>
          <w:szCs w:val="28"/>
        </w:rPr>
        <w:t xml:space="preserve"> год</w:t>
      </w:r>
    </w:p>
    <w:p w:rsidR="00480B58" w:rsidRDefault="00480B58" w:rsidP="00110D3B">
      <w:pPr>
        <w:pStyle w:val="2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480B58" w:rsidRDefault="009670B3" w:rsidP="00110D3B">
      <w:pPr>
        <w:pStyle w:val="2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руководствуясь Уставом сельского поселения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>:</w:t>
      </w:r>
    </w:p>
    <w:p w:rsidR="00110D3B" w:rsidRDefault="00110D3B" w:rsidP="00110D3B">
      <w:pPr>
        <w:pStyle w:val="2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480B58" w:rsidRDefault="009670B3" w:rsidP="00110D3B">
      <w:pPr>
        <w:pStyle w:val="21"/>
        <w:numPr>
          <w:ilvl w:val="0"/>
          <w:numId w:val="1"/>
        </w:numPr>
        <w:shd w:val="clear" w:color="auto" w:fill="auto"/>
        <w:tabs>
          <w:tab w:val="left" w:pos="1005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 xml:space="preserve"> на 2</w:t>
      </w:r>
      <w:r w:rsidR="00EC5AEB">
        <w:rPr>
          <w:sz w:val="28"/>
          <w:szCs w:val="28"/>
        </w:rPr>
        <w:t>02</w:t>
      </w:r>
      <w:r w:rsidR="00A93AB0">
        <w:rPr>
          <w:sz w:val="28"/>
          <w:szCs w:val="28"/>
        </w:rPr>
        <w:t>4</w:t>
      </w:r>
      <w:r w:rsidR="00EC5AEB">
        <w:rPr>
          <w:sz w:val="28"/>
          <w:szCs w:val="28"/>
        </w:rPr>
        <w:t xml:space="preserve"> год, согласно приложению</w:t>
      </w:r>
      <w:r>
        <w:rPr>
          <w:sz w:val="28"/>
          <w:szCs w:val="28"/>
        </w:rPr>
        <w:t>.</w:t>
      </w:r>
    </w:p>
    <w:p w:rsidR="00D800FE" w:rsidRDefault="00D800FE" w:rsidP="00110D3B">
      <w:pPr>
        <w:pStyle w:val="21"/>
        <w:shd w:val="clear" w:color="auto" w:fill="auto"/>
        <w:tabs>
          <w:tab w:val="left" w:pos="1005"/>
        </w:tabs>
        <w:spacing w:before="0" w:after="0" w:line="240" w:lineRule="auto"/>
        <w:ind w:left="760"/>
        <w:rPr>
          <w:sz w:val="28"/>
          <w:szCs w:val="28"/>
        </w:rPr>
      </w:pPr>
    </w:p>
    <w:p w:rsidR="00D1367B" w:rsidRDefault="00D1367B" w:rsidP="00D1367B">
      <w:pPr>
        <w:pStyle w:val="23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официальному обнародованию (опубликованию) на официальном сайте администрации сельского поселения Покур.</w:t>
      </w:r>
    </w:p>
    <w:p w:rsidR="00D800FE" w:rsidRDefault="00D800FE" w:rsidP="00110D3B">
      <w:pPr>
        <w:pStyle w:val="21"/>
        <w:shd w:val="clear" w:color="auto" w:fill="auto"/>
        <w:tabs>
          <w:tab w:val="left" w:pos="1005"/>
        </w:tabs>
        <w:spacing w:before="0" w:after="0" w:line="240" w:lineRule="auto"/>
        <w:ind w:left="760"/>
        <w:rPr>
          <w:sz w:val="28"/>
          <w:szCs w:val="28"/>
        </w:rPr>
      </w:pPr>
    </w:p>
    <w:p w:rsidR="00480B58" w:rsidRDefault="009670B3" w:rsidP="00110D3B">
      <w:pPr>
        <w:pStyle w:val="21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10D3B" w:rsidRDefault="00110D3B" w:rsidP="0066259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</w:p>
    <w:p w:rsidR="0066259D" w:rsidRDefault="0066259D" w:rsidP="0066259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</w:p>
    <w:p w:rsidR="00D800FE" w:rsidRDefault="00A93AB0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00FE">
        <w:rPr>
          <w:sz w:val="28"/>
          <w:szCs w:val="28"/>
        </w:rPr>
        <w:t xml:space="preserve">сельского поселения Покур                          </w:t>
      </w:r>
      <w:r w:rsidR="00C05BBD">
        <w:rPr>
          <w:sz w:val="28"/>
          <w:szCs w:val="28"/>
        </w:rPr>
        <w:t xml:space="preserve"> </w:t>
      </w:r>
      <w:r w:rsidR="00D800FE">
        <w:rPr>
          <w:sz w:val="28"/>
          <w:szCs w:val="28"/>
        </w:rPr>
        <w:t xml:space="preserve">                     Ю.Г.</w:t>
      </w:r>
      <w:r>
        <w:rPr>
          <w:sz w:val="28"/>
          <w:szCs w:val="28"/>
        </w:rPr>
        <w:t xml:space="preserve"> </w:t>
      </w:r>
      <w:r w:rsidR="00D800FE">
        <w:rPr>
          <w:sz w:val="28"/>
          <w:szCs w:val="28"/>
        </w:rPr>
        <w:t>Созонюк</w:t>
      </w:r>
    </w:p>
    <w:p w:rsidR="00D800FE" w:rsidRDefault="00D800FE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</w:p>
    <w:p w:rsidR="00D800FE" w:rsidRDefault="00D800FE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  <w:sectPr w:rsidR="00D800FE">
          <w:pgSz w:w="11900" w:h="16840"/>
          <w:pgMar w:top="1162" w:right="822" w:bottom="1162" w:left="1669" w:header="0" w:footer="3" w:gutter="0"/>
          <w:cols w:space="720"/>
          <w:docGrid w:linePitch="360"/>
        </w:sectPr>
      </w:pPr>
    </w:p>
    <w:p w:rsidR="00C05BBD" w:rsidRDefault="00D800FE" w:rsidP="00C05BBD">
      <w:pPr>
        <w:pStyle w:val="21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</w:t>
      </w:r>
      <w:r w:rsidR="00EC5AEB">
        <w:t xml:space="preserve">            </w:t>
      </w:r>
      <w:r w:rsidR="00C05BBD">
        <w:t xml:space="preserve">      </w:t>
      </w:r>
      <w:r w:rsidR="00EC5AEB">
        <w:t xml:space="preserve"> </w:t>
      </w:r>
      <w:r w:rsidR="009670B3" w:rsidRPr="00EC5AEB">
        <w:rPr>
          <w:sz w:val="24"/>
          <w:szCs w:val="24"/>
        </w:rPr>
        <w:t xml:space="preserve">Приложение </w:t>
      </w:r>
      <w:r w:rsidRPr="00EC5AEB">
        <w:rPr>
          <w:sz w:val="24"/>
          <w:szCs w:val="24"/>
        </w:rPr>
        <w:t xml:space="preserve"> </w:t>
      </w:r>
      <w:r w:rsidR="009670B3" w:rsidRPr="00EC5AEB">
        <w:rPr>
          <w:sz w:val="24"/>
          <w:szCs w:val="24"/>
        </w:rPr>
        <w:t xml:space="preserve">к постановлению </w:t>
      </w:r>
    </w:p>
    <w:p w:rsidR="00C05BBD" w:rsidRDefault="00C05BBD" w:rsidP="00C05BBD">
      <w:pPr>
        <w:pStyle w:val="21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670B3" w:rsidRPr="00EC5AEB">
        <w:rPr>
          <w:sz w:val="24"/>
          <w:szCs w:val="24"/>
        </w:rPr>
        <w:t xml:space="preserve">администрации </w:t>
      </w:r>
      <w:r w:rsidR="00D800FE" w:rsidRPr="00EC5AEB">
        <w:rPr>
          <w:sz w:val="24"/>
          <w:szCs w:val="24"/>
        </w:rPr>
        <w:t xml:space="preserve"> </w:t>
      </w:r>
      <w:r w:rsidR="009670B3" w:rsidRPr="00EC5AEB">
        <w:rPr>
          <w:sz w:val="24"/>
          <w:szCs w:val="24"/>
        </w:rPr>
        <w:t>сельского</w:t>
      </w:r>
      <w:r w:rsidR="00D800FE" w:rsidRPr="00EC5AEB">
        <w:rPr>
          <w:sz w:val="24"/>
          <w:szCs w:val="24"/>
        </w:rPr>
        <w:t xml:space="preserve">   </w:t>
      </w:r>
    </w:p>
    <w:p w:rsidR="00480B58" w:rsidRPr="00EC5AEB" w:rsidRDefault="00C05BBD" w:rsidP="00C05BBD">
      <w:pPr>
        <w:pStyle w:val="21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800FE" w:rsidRPr="00EC5AEB">
        <w:rPr>
          <w:sz w:val="24"/>
          <w:szCs w:val="24"/>
        </w:rPr>
        <w:t xml:space="preserve">   </w:t>
      </w:r>
      <w:r w:rsidR="009670B3" w:rsidRPr="00EC5AEB">
        <w:rPr>
          <w:sz w:val="24"/>
          <w:szCs w:val="24"/>
        </w:rPr>
        <w:t xml:space="preserve">поселения </w:t>
      </w:r>
      <w:r w:rsidR="00D800FE" w:rsidRPr="00EC5AEB">
        <w:rPr>
          <w:sz w:val="24"/>
          <w:szCs w:val="24"/>
        </w:rPr>
        <w:t xml:space="preserve">      Покур</w:t>
      </w:r>
      <w:r w:rsidR="009670B3" w:rsidRPr="00EC5AEB">
        <w:rPr>
          <w:sz w:val="24"/>
          <w:szCs w:val="24"/>
        </w:rPr>
        <w:t xml:space="preserve"> </w:t>
      </w:r>
    </w:p>
    <w:p w:rsidR="00480B58" w:rsidRPr="00EC5AEB" w:rsidRDefault="00D800FE" w:rsidP="00EC5AEB">
      <w:pPr>
        <w:pStyle w:val="21"/>
        <w:shd w:val="clear" w:color="auto" w:fill="auto"/>
        <w:spacing w:before="0" w:after="0"/>
        <w:ind w:left="4300"/>
        <w:jc w:val="left"/>
        <w:rPr>
          <w:sz w:val="24"/>
          <w:szCs w:val="24"/>
        </w:rPr>
      </w:pPr>
      <w:r w:rsidRPr="00EC5AEB">
        <w:rPr>
          <w:sz w:val="24"/>
          <w:szCs w:val="24"/>
        </w:rPr>
        <w:t xml:space="preserve">                      </w:t>
      </w:r>
      <w:r w:rsidR="00C05BBD">
        <w:rPr>
          <w:sz w:val="24"/>
          <w:szCs w:val="24"/>
        </w:rPr>
        <w:t xml:space="preserve">   </w:t>
      </w:r>
      <w:r w:rsidR="009670B3" w:rsidRPr="00EC5AEB">
        <w:rPr>
          <w:sz w:val="24"/>
          <w:szCs w:val="24"/>
        </w:rPr>
        <w:t xml:space="preserve">от </w:t>
      </w:r>
      <w:r w:rsidR="009C7B75">
        <w:rPr>
          <w:sz w:val="24"/>
          <w:szCs w:val="24"/>
        </w:rPr>
        <w:t xml:space="preserve">15.12.2023 </w:t>
      </w:r>
      <w:r w:rsidR="009670B3" w:rsidRPr="00EC5AEB">
        <w:rPr>
          <w:sz w:val="24"/>
          <w:szCs w:val="24"/>
        </w:rPr>
        <w:t xml:space="preserve">года № </w:t>
      </w:r>
      <w:r w:rsidR="009C7B75">
        <w:rPr>
          <w:sz w:val="24"/>
          <w:szCs w:val="24"/>
        </w:rPr>
        <w:t>100</w:t>
      </w:r>
    </w:p>
    <w:p w:rsidR="00480B58" w:rsidRDefault="00480B58">
      <w:pPr>
        <w:pStyle w:val="21"/>
        <w:shd w:val="clear" w:color="auto" w:fill="auto"/>
        <w:spacing w:before="0" w:after="180"/>
        <w:jc w:val="center"/>
      </w:pPr>
    </w:p>
    <w:p w:rsidR="00480B58" w:rsidRDefault="009670B3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b/>
          <w:sz w:val="28"/>
          <w:szCs w:val="28"/>
        </w:rPr>
        <w:t>Покур</w:t>
      </w:r>
      <w:r>
        <w:rPr>
          <w:b/>
          <w:sz w:val="28"/>
          <w:szCs w:val="28"/>
        </w:rPr>
        <w:t xml:space="preserve"> на 202</w:t>
      </w:r>
      <w:r w:rsidR="00A93A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C05BBD" w:rsidRDefault="00C05BBD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80B58" w:rsidRDefault="009670B3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66B91">
        <w:rPr>
          <w:b/>
          <w:sz w:val="28"/>
          <w:szCs w:val="28"/>
        </w:rPr>
        <w:t>1.Общие положения</w:t>
      </w:r>
    </w:p>
    <w:p w:rsidR="00366B91" w:rsidRPr="00366B91" w:rsidRDefault="00366B91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80B58" w:rsidRDefault="009670B3" w:rsidP="00D1367B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r w:rsidR="00D800FE">
        <w:rPr>
          <w:sz w:val="28"/>
          <w:szCs w:val="28"/>
        </w:rPr>
        <w:t xml:space="preserve">Покур </w:t>
      </w:r>
      <w:r>
        <w:rPr>
          <w:sz w:val="28"/>
          <w:szCs w:val="28"/>
        </w:rPr>
        <w:t>осуществляется муниципальный к</w:t>
      </w:r>
      <w:r w:rsidR="00D1367B">
        <w:rPr>
          <w:sz w:val="28"/>
          <w:szCs w:val="28"/>
        </w:rPr>
        <w:t>онтроль в сфере благоустройства.</w:t>
      </w:r>
    </w:p>
    <w:p w:rsidR="00480B58" w:rsidRDefault="009670B3" w:rsidP="00D1367B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Функции муниципального контроля осуществляет - администрация сельского поселения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>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правил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>, согласно нормативн</w:t>
      </w:r>
      <w:r w:rsidR="00366B91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 сельского поселения (далее - сельское поселение).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сельского поселения, являются:</w:t>
      </w:r>
    </w:p>
    <w:p w:rsidR="00480B58" w:rsidRDefault="009670B3" w:rsidP="00366B91">
      <w:pPr>
        <w:pStyle w:val="21"/>
        <w:shd w:val="clear" w:color="auto" w:fill="auto"/>
        <w:tabs>
          <w:tab w:val="left" w:pos="836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 сформировано понимание исполнения требований в сфере благоустройства у подконтрольных субъектов;</w:t>
      </w:r>
    </w:p>
    <w:p w:rsidR="00480B58" w:rsidRDefault="009670B3" w:rsidP="00366B91">
      <w:pPr>
        <w:pStyle w:val="21"/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480B58" w:rsidRDefault="009670B3" w:rsidP="00366B91">
      <w:pPr>
        <w:pStyle w:val="21"/>
        <w:shd w:val="clear" w:color="auto" w:fill="auto"/>
        <w:tabs>
          <w:tab w:val="left" w:pos="846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сельского поселения </w:t>
      </w:r>
      <w:r w:rsidR="00D800FE">
        <w:rPr>
          <w:sz w:val="28"/>
          <w:szCs w:val="28"/>
        </w:rPr>
        <w:t xml:space="preserve">Покур </w:t>
      </w:r>
      <w:r>
        <w:rPr>
          <w:sz w:val="28"/>
          <w:szCs w:val="28"/>
        </w:rPr>
        <w:t>(далее - Администрация).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Для целей настоящей Программы используются следующие основные термины и их определения:</w:t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</w:t>
      </w:r>
      <w:r>
        <w:rPr>
          <w:sz w:val="28"/>
          <w:szCs w:val="28"/>
        </w:rPr>
        <w:lastRenderedPageBreak/>
        <w:t>рисков причинения ущерба охраняемым законом ценностям и отвечающее следующим признакам: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отсутствие принуждения и рекомендательный характер мероприятий для подконтрольных субъектов;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направленность на выявление причин и факторов несоблюдения обязательных требований;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отсутствие организационной связи с мероприятиями по контролю.</w:t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</w:p>
    <w:p w:rsidR="00480B58" w:rsidRDefault="009670B3">
      <w:pPr>
        <w:pStyle w:val="21"/>
        <w:shd w:val="clear" w:color="auto" w:fill="auto"/>
        <w:spacing w:before="0" w:after="0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1B201E" w:rsidRDefault="001B201E">
      <w:pPr>
        <w:pStyle w:val="21"/>
        <w:shd w:val="clear" w:color="auto" w:fill="auto"/>
        <w:spacing w:before="0" w:after="0"/>
        <w:ind w:left="20"/>
        <w:jc w:val="center"/>
        <w:rPr>
          <w:b/>
          <w:sz w:val="28"/>
          <w:szCs w:val="28"/>
        </w:rPr>
      </w:pPr>
    </w:p>
    <w:p w:rsidR="00480B58" w:rsidRDefault="009670B3" w:rsidP="001B201E">
      <w:pPr>
        <w:pStyle w:val="21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Цели Программы: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повышение уровня благоустройства, соблюдения чистоты и порядка;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увеличение доли хозяйствующих субъектов, соблюдающих требования в сфере благоустройства.</w:t>
      </w:r>
    </w:p>
    <w:p w:rsidR="00480B58" w:rsidRDefault="009670B3" w:rsidP="001B201E">
      <w:pPr>
        <w:pStyle w:val="21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80B58" w:rsidRDefault="001B201E" w:rsidP="001B201E">
      <w:pPr>
        <w:pStyle w:val="21"/>
        <w:shd w:val="clear" w:color="auto" w:fill="auto"/>
        <w:spacing w:before="0" w:after="0"/>
        <w:ind w:left="310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670B3">
        <w:rPr>
          <w:b/>
          <w:sz w:val="28"/>
          <w:szCs w:val="28"/>
        </w:rPr>
        <w:t>План мероприятий Программы</w:t>
      </w:r>
    </w:p>
    <w:p w:rsidR="001B201E" w:rsidRDefault="001B201E" w:rsidP="001B201E">
      <w:pPr>
        <w:pStyle w:val="21"/>
        <w:shd w:val="clear" w:color="auto" w:fill="auto"/>
        <w:spacing w:before="0" w:after="0"/>
        <w:ind w:left="3100"/>
        <w:rPr>
          <w:b/>
          <w:sz w:val="28"/>
          <w:szCs w:val="28"/>
        </w:rPr>
      </w:pP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</w:t>
      </w:r>
      <w:r w:rsidR="00A93AB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планируемый период (Приложение к Программе).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firstLine="743"/>
        <w:rPr>
          <w:sz w:val="28"/>
          <w:szCs w:val="28"/>
        </w:rPr>
      </w:pPr>
    </w:p>
    <w:p w:rsidR="00480B58" w:rsidRDefault="009670B3">
      <w:pPr>
        <w:pStyle w:val="21"/>
        <w:numPr>
          <w:ilvl w:val="0"/>
          <w:numId w:val="1"/>
        </w:numPr>
        <w:shd w:val="clear" w:color="auto" w:fill="auto"/>
        <w:tabs>
          <w:tab w:val="left" w:pos="3430"/>
        </w:tabs>
        <w:spacing w:before="0" w:after="0" w:line="220" w:lineRule="exact"/>
        <w:ind w:left="3100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Программы</w:t>
      </w:r>
    </w:p>
    <w:p w:rsidR="001B201E" w:rsidRDefault="001B201E" w:rsidP="001B201E">
      <w:pPr>
        <w:pStyle w:val="21"/>
        <w:shd w:val="clear" w:color="auto" w:fill="auto"/>
        <w:tabs>
          <w:tab w:val="left" w:pos="3430"/>
        </w:tabs>
        <w:spacing w:before="0" w:after="0" w:line="220" w:lineRule="exact"/>
        <w:ind w:left="3100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4"/>
        <w:gridCol w:w="3269"/>
      </w:tblGrid>
      <w:tr w:rsidR="00480B58">
        <w:trPr>
          <w:trHeight w:hRule="exact" w:val="648"/>
          <w:jc w:val="center"/>
        </w:trPr>
        <w:tc>
          <w:tcPr>
            <w:tcW w:w="6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Показатель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Период, год</w:t>
            </w:r>
          </w:p>
        </w:tc>
      </w:tr>
      <w:tr w:rsidR="00480B58">
        <w:trPr>
          <w:trHeight w:hRule="exact" w:val="946"/>
          <w:jc w:val="center"/>
        </w:trPr>
        <w:tc>
          <w:tcPr>
            <w:tcW w:w="6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480B58">
            <w:pPr>
              <w:framePr w:w="93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 w:rsidP="00A93AB0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</w:t>
            </w:r>
            <w:r w:rsidR="00A93AB0">
              <w:rPr>
                <w:rStyle w:val="20"/>
                <w:sz w:val="28"/>
                <w:szCs w:val="28"/>
              </w:rPr>
              <w:t>4</w:t>
            </w:r>
          </w:p>
        </w:tc>
      </w:tr>
      <w:tr w:rsidR="00480B58">
        <w:trPr>
          <w:trHeight w:hRule="exact" w:val="53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</w:t>
            </w:r>
          </w:p>
        </w:tc>
      </w:tr>
      <w:tr w:rsidR="00480B58">
        <w:trPr>
          <w:trHeight w:hRule="exact" w:val="11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45" w:lineRule="exac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</w:tr>
      <w:tr w:rsidR="00480B58">
        <w:trPr>
          <w:trHeight w:hRule="exact" w:val="864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  <w:tr w:rsidR="00480B58" w:rsidTr="001B201E">
        <w:trPr>
          <w:trHeight w:hRule="exact" w:val="82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</w:tbl>
    <w:p w:rsidR="00480B58" w:rsidRDefault="00480B58">
      <w:pPr>
        <w:framePr w:w="9302" w:wrap="notBeside" w:vAnchor="text" w:hAnchor="text" w:xAlign="center" w:y="1"/>
        <w:rPr>
          <w:sz w:val="28"/>
          <w:szCs w:val="28"/>
        </w:rPr>
      </w:pPr>
    </w:p>
    <w:p w:rsidR="00480B58" w:rsidRDefault="009670B3" w:rsidP="00601125">
      <w:pPr>
        <w:pStyle w:val="2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80B58" w:rsidRDefault="00601125" w:rsidP="00601125">
      <w:pPr>
        <w:pStyle w:val="21"/>
        <w:shd w:val="clear" w:color="auto" w:fill="auto"/>
        <w:tabs>
          <w:tab w:val="left" w:pos="1035"/>
        </w:tabs>
        <w:spacing w:before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670B3" w:rsidRPr="00601125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</w:t>
      </w:r>
      <w:r w:rsidR="001B201E" w:rsidRPr="00601125">
        <w:rPr>
          <w:sz w:val="28"/>
          <w:szCs w:val="28"/>
        </w:rPr>
        <w:t>твлении муниципального контроля</w:t>
      </w:r>
      <w:r>
        <w:rPr>
          <w:sz w:val="28"/>
          <w:szCs w:val="28"/>
        </w:rPr>
        <w:t>.</w:t>
      </w:r>
    </w:p>
    <w:p w:rsidR="001B201E" w:rsidRDefault="001B201E" w:rsidP="001B201E">
      <w:pPr>
        <w:pStyle w:val="21"/>
        <w:shd w:val="clear" w:color="auto" w:fill="auto"/>
        <w:tabs>
          <w:tab w:val="left" w:pos="1035"/>
        </w:tabs>
        <w:spacing w:before="0" w:after="0" w:line="240" w:lineRule="auto"/>
        <w:ind w:left="740"/>
        <w:rPr>
          <w:b/>
          <w:sz w:val="28"/>
          <w:szCs w:val="28"/>
        </w:rPr>
      </w:pPr>
    </w:p>
    <w:p w:rsidR="00601125" w:rsidRDefault="00601125">
      <w:pPr>
        <w:widowControl/>
        <w:rPr>
          <w:rFonts w:ascii="Times New Roman" w:eastAsia="Times New Roman" w:hAnsi="Times New Roman" w:cs="Times New Roman"/>
        </w:rPr>
      </w:pPr>
      <w:r>
        <w:br w:type="page"/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sz w:val="24"/>
          <w:szCs w:val="24"/>
        </w:rPr>
        <w:t>Покур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</w:p>
    <w:p w:rsidR="001B201E" w:rsidRDefault="009670B3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План мероприятий</w:t>
      </w:r>
    </w:p>
    <w:p w:rsidR="001B201E" w:rsidRDefault="009670B3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профилактике нарушений в рамках осуществления муниципального</w:t>
      </w:r>
      <w:r w:rsidR="001B2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в сфере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 xml:space="preserve"> на 202</w:t>
      </w:r>
      <w:r w:rsidR="00A93AB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601125" w:rsidRDefault="00601125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2070"/>
        <w:gridCol w:w="2041"/>
      </w:tblGrid>
      <w:tr w:rsidR="00480B58" w:rsidTr="00601125">
        <w:trPr>
          <w:trHeight w:hRule="exact" w:val="76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60" w:line="22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№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60" w:after="0" w:line="22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Срок исполнения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120" w:line="220" w:lineRule="exact"/>
              <w:ind w:left="30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Ответственный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исполнитель</w:t>
            </w:r>
          </w:p>
        </w:tc>
      </w:tr>
      <w:tr w:rsidR="00480B58" w:rsidTr="00601125">
        <w:trPr>
          <w:trHeight w:hRule="exact" w:val="2746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  <w:r>
              <w:rPr>
                <w:rStyle w:val="20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 w:rsidTr="00601125">
        <w:trPr>
          <w:trHeight w:hRule="exact" w:val="4512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 w:rsidTr="00601125">
        <w:trPr>
          <w:trHeight w:hRule="exact" w:val="3514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80B58" w:rsidRDefault="009670B3" w:rsidP="0060112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581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проведения контрольных мероприятий;</w:t>
            </w:r>
          </w:p>
          <w:p w:rsidR="00480B58" w:rsidRDefault="009670B3" w:rsidP="0060112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периодичности проведения контрольных мероприятий;</w:t>
            </w:r>
          </w:p>
          <w:p w:rsidR="00480B58" w:rsidRDefault="009670B3" w:rsidP="0060112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:rsidR="00480B58" w:rsidRDefault="009670B3" w:rsidP="0060112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обжалования решений Контрольного органа.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Консультирование контролируемых лиц и их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601125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601125">
              <w:rPr>
                <w:rStyle w:val="20"/>
                <w:sz w:val="24"/>
                <w:szCs w:val="24"/>
              </w:rPr>
              <w:t>Покур</w:t>
            </w:r>
          </w:p>
        </w:tc>
      </w:tr>
    </w:tbl>
    <w:tbl>
      <w:tblPr>
        <w:tblpPr w:leftFromText="180" w:rightFromText="180" w:vertAnchor="text" w:horzAnchor="margin" w:tblpXSpec="right" w:tblpY="897"/>
        <w:tblOverlap w:val="never"/>
        <w:tblW w:w="93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579"/>
        <w:gridCol w:w="2126"/>
        <w:gridCol w:w="1997"/>
      </w:tblGrid>
      <w:tr w:rsidR="00601125" w:rsidTr="00305A74">
        <w:trPr>
          <w:trHeight w:hRule="exact" w:val="5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125" w:rsidRDefault="00601125" w:rsidP="00305A74"/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представителей:</w:t>
            </w:r>
          </w:p>
          <w:p w:rsidR="00601125" w:rsidRDefault="00601125" w:rsidP="00305A74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601125" w:rsidRDefault="00601125" w:rsidP="00305A74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Письменное консультирование контролируемых лиц и их представителей.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125" w:rsidRDefault="00601125" w:rsidP="00305A74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125" w:rsidRDefault="00601125" w:rsidP="00305A74"/>
        </w:tc>
      </w:tr>
      <w:tr w:rsidR="00601125" w:rsidTr="00305A74">
        <w:trPr>
          <w:trHeight w:hRule="exact" w:val="19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 Покур</w:t>
            </w:r>
          </w:p>
        </w:tc>
      </w:tr>
      <w:tr w:rsidR="00601125" w:rsidTr="00305A74">
        <w:trPr>
          <w:trHeight w:hRule="exact" w:val="19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 Покур</w:t>
            </w:r>
          </w:p>
        </w:tc>
      </w:tr>
      <w:tr w:rsidR="00601125" w:rsidTr="00305A74">
        <w:trPr>
          <w:trHeight w:hRule="exact" w:val="20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 квартал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601125" w:rsidRDefault="00601125" w:rsidP="00305A74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</w:t>
            </w:r>
            <w:r w:rsidRPr="00D800FE">
              <w:rPr>
                <w:rStyle w:val="20"/>
                <w:sz w:val="24"/>
                <w:szCs w:val="24"/>
              </w:rPr>
              <w:t xml:space="preserve"> </w:t>
            </w:r>
            <w:r>
              <w:rPr>
                <w:rStyle w:val="20"/>
                <w:sz w:val="24"/>
                <w:szCs w:val="24"/>
              </w:rPr>
              <w:t>Покур</w:t>
            </w:r>
          </w:p>
        </w:tc>
      </w:tr>
    </w:tbl>
    <w:p w:rsidR="00480B58" w:rsidRDefault="00480B58" w:rsidP="00601125">
      <w:pPr>
        <w:pStyle w:val="40"/>
        <w:shd w:val="clear" w:color="auto" w:fill="auto"/>
        <w:ind w:left="4640"/>
      </w:pPr>
    </w:p>
    <w:sectPr w:rsidR="00480B58" w:rsidSect="00601125">
      <w:pgSz w:w="11900" w:h="16840"/>
      <w:pgMar w:top="1079" w:right="546" w:bottom="568" w:left="15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66" w:rsidRDefault="00694B66"/>
  </w:endnote>
  <w:endnote w:type="continuationSeparator" w:id="0">
    <w:p w:rsidR="00694B66" w:rsidRDefault="00694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66" w:rsidRDefault="00694B66"/>
  </w:footnote>
  <w:footnote w:type="continuationSeparator" w:id="0">
    <w:p w:rsidR="00694B66" w:rsidRDefault="00694B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37E"/>
    <w:multiLevelType w:val="multilevel"/>
    <w:tmpl w:val="00916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B6C89"/>
    <w:multiLevelType w:val="multilevel"/>
    <w:tmpl w:val="022B6C8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7E07"/>
    <w:multiLevelType w:val="multilevel"/>
    <w:tmpl w:val="02977E07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E10D8"/>
    <w:multiLevelType w:val="multilevel"/>
    <w:tmpl w:val="209E1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02D7E"/>
    <w:multiLevelType w:val="multilevel"/>
    <w:tmpl w:val="E93A16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54DB7"/>
    <w:multiLevelType w:val="multilevel"/>
    <w:tmpl w:val="36D54D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2B0A"/>
    <w:multiLevelType w:val="multilevel"/>
    <w:tmpl w:val="5A1F2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B"/>
    <w:rsid w:val="0004542C"/>
    <w:rsid w:val="00050D23"/>
    <w:rsid w:val="0007682F"/>
    <w:rsid w:val="000E74E1"/>
    <w:rsid w:val="00110D3B"/>
    <w:rsid w:val="001B201E"/>
    <w:rsid w:val="001B7910"/>
    <w:rsid w:val="00261018"/>
    <w:rsid w:val="002A72EA"/>
    <w:rsid w:val="00322CAA"/>
    <w:rsid w:val="00366B91"/>
    <w:rsid w:val="00480B58"/>
    <w:rsid w:val="004C18F3"/>
    <w:rsid w:val="00560A38"/>
    <w:rsid w:val="00587D8D"/>
    <w:rsid w:val="00601125"/>
    <w:rsid w:val="0066259D"/>
    <w:rsid w:val="00694B66"/>
    <w:rsid w:val="00924BBB"/>
    <w:rsid w:val="009670B3"/>
    <w:rsid w:val="009C7B75"/>
    <w:rsid w:val="00A222D3"/>
    <w:rsid w:val="00A93AB0"/>
    <w:rsid w:val="00BE689C"/>
    <w:rsid w:val="00C05BBD"/>
    <w:rsid w:val="00D1367B"/>
    <w:rsid w:val="00D17A86"/>
    <w:rsid w:val="00D800FE"/>
    <w:rsid w:val="00EC5AEB"/>
    <w:rsid w:val="00F446A6"/>
    <w:rsid w:val="00F86848"/>
    <w:rsid w:val="3F4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03A07-9743-41B8-B7D3-C8AC819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78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before="240"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qFormat/>
    <w:rPr>
      <w:rFonts w:ascii="Segoe UI" w:eastAsia="Segoe UI" w:hAnsi="Segoe UI" w:cs="Segoe UI"/>
      <w:sz w:val="16"/>
      <w:szCs w:val="16"/>
      <w:u w:val="none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  <w:spacing w:line="216" w:lineRule="exact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basedOn w:val="a0"/>
    <w:link w:val="40"/>
    <w:qFormat/>
    <w:rPr>
      <w:rFonts w:ascii="Segoe UI" w:eastAsia="Segoe UI" w:hAnsi="Segoe UI" w:cs="Segoe UI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</w:pPr>
    <w:rPr>
      <w:rFonts w:ascii="Segoe UI" w:eastAsia="Segoe UI" w:hAnsi="Segoe UI" w:cs="Segoe UI"/>
      <w:sz w:val="22"/>
      <w:szCs w:val="22"/>
    </w:rPr>
  </w:style>
  <w:style w:type="character" w:customStyle="1" w:styleId="22">
    <w:name w:val="Заголовок №2_"/>
    <w:basedOn w:val="a0"/>
    <w:link w:val="23"/>
    <w:qFormat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qFormat/>
    <w:pPr>
      <w:shd w:val="clear" w:color="auto" w:fill="FFFFFF"/>
      <w:spacing w:before="72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99"/>
    <w:rsid w:val="00D800FE"/>
    <w:pPr>
      <w:ind w:left="720"/>
      <w:contextualSpacing/>
    </w:pPr>
  </w:style>
  <w:style w:type="paragraph" w:customStyle="1" w:styleId="230">
    <w:name w:val="Основной текст (2)3"/>
    <w:basedOn w:val="a"/>
    <w:qFormat/>
    <w:rsid w:val="00D1367B"/>
    <w:pPr>
      <w:shd w:val="clear" w:color="auto" w:fill="FFFFFF"/>
      <w:spacing w:before="720" w:after="30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7B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75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Ткаченко Яна Феликсовна</cp:lastModifiedBy>
  <cp:revision>2</cp:revision>
  <cp:lastPrinted>2023-12-18T06:52:00Z</cp:lastPrinted>
  <dcterms:created xsi:type="dcterms:W3CDTF">2023-12-18T07:10:00Z</dcterms:created>
  <dcterms:modified xsi:type="dcterms:W3CDTF">2023-12-18T07:10:00Z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CB4E0549DA2249F0A8782D92048700D4</vt:lpwstr>
  </property>
</Properties>
</file>